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E6F" w:rsidRDefault="001C3E6F" w:rsidP="001C3E6F">
      <w:pPr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Anexa 3.7</w:t>
      </w:r>
      <w:r w:rsidR="00C61B28" w:rsidRPr="00C61B2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– </w:t>
      </w:r>
      <w:r w:rsidRPr="001C3E6F">
        <w:rPr>
          <w:rFonts w:ascii="Times New Roman" w:hAnsi="Times New Roman" w:cs="Times New Roman"/>
          <w:i/>
          <w:sz w:val="28"/>
          <w:szCs w:val="28"/>
          <w:lang w:val="ro-RO"/>
        </w:rPr>
        <w:t>Analiza cerințelor educaționale</w:t>
      </w:r>
    </w:p>
    <w:p w:rsidR="001C3E6F" w:rsidRPr="00162AF6" w:rsidRDefault="00162AF6" w:rsidP="001C3E6F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 xml:space="preserve">Analiza cerințelor educaționale ale programului de studii universitare de licență </w:t>
      </w:r>
      <w:r w:rsidRPr="00162AF6">
        <w:rPr>
          <w:rFonts w:ascii="Times New Roman" w:hAnsi="Times New Roman" w:cs="Times New Roman"/>
          <w:sz w:val="24"/>
          <w:szCs w:val="24"/>
          <w:lang w:val="ro-RO"/>
        </w:rPr>
        <w:t xml:space="preserve">…………………… </w:t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a fost realizată cu precădere pe ultimii doi ani ai programului, care cuprinde și disciplinele care definesc specializarea. Astfel, au fost identificate competențele specifice – profesionale și transversale, acumulate de studenții care parcurg și finalizează disciplinele de specialitate</w:t>
      </w:r>
      <w:r w:rsidR="005C34AD">
        <w:rPr>
          <w:rFonts w:ascii="Times New Roman" w:hAnsi="Times New Roman" w:cs="Times New Roman"/>
          <w:sz w:val="24"/>
          <w:szCs w:val="24"/>
          <w:lang w:val="ro-RO"/>
        </w:rPr>
        <w:t xml:space="preserve"> și care sunt cerute pe piața muncii</w:t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. Acestea sunt prezentate tabelar mai jos.</w:t>
      </w:r>
    </w:p>
    <w:p w:rsidR="001C3E6F" w:rsidRPr="00162AF6" w:rsidRDefault="00162AF6" w:rsidP="001C3E6F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AF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Astfel, prin realizarea cerințelor educaționale</w:t>
      </w:r>
      <w:r w:rsidRPr="00162AF6">
        <w:rPr>
          <w:rFonts w:ascii="Times New Roman" w:hAnsi="Times New Roman" w:cs="Times New Roman"/>
          <w:sz w:val="24"/>
          <w:szCs w:val="24"/>
          <w:lang w:val="ro-RO"/>
        </w:rPr>
        <w:t xml:space="preserve"> ale programului de studii, stu</w:t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denț</w:t>
      </w:r>
      <w:r w:rsidRPr="00162AF6">
        <w:rPr>
          <w:rFonts w:ascii="Times New Roman" w:hAnsi="Times New Roman" w:cs="Times New Roman"/>
          <w:sz w:val="24"/>
          <w:szCs w:val="24"/>
          <w:lang w:val="ro-RO"/>
        </w:rPr>
        <w:t>ii programului de studii ……………..</w:t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acumulează cunoștințe, dobândesc abilități și dezvoltă deprinderi necesare absolvenților pentru angajarea și menținerea unui loc de muncă în condițiile modificării continue a ocupațiilor de pe piața muncii.</w:t>
      </w:r>
    </w:p>
    <w:p w:rsidR="005C34AD" w:rsidRPr="00162AF6" w:rsidRDefault="00162AF6" w:rsidP="001C3E6F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62AF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Au fost analizate ofertele de muncă de pe</w:t>
      </w:r>
      <w:r w:rsidRPr="00162AF6">
        <w:rPr>
          <w:rFonts w:ascii="Times New Roman" w:hAnsi="Times New Roman" w:cs="Times New Roman"/>
          <w:sz w:val="24"/>
          <w:szCs w:val="24"/>
          <w:lang w:val="ro-RO"/>
        </w:rPr>
        <w:t xml:space="preserve"> piața muncii, exclusiv pentru absolvenți și au fost </w:t>
      </w:r>
      <w:r w:rsidR="001C3E6F" w:rsidRPr="00162AF6">
        <w:rPr>
          <w:rFonts w:ascii="Times New Roman" w:hAnsi="Times New Roman" w:cs="Times New Roman"/>
          <w:sz w:val="24"/>
          <w:szCs w:val="24"/>
          <w:lang w:val="ro-RO"/>
        </w:rPr>
        <w:t>identificate poziții de angajare în asociere cu fiecare dintre disciplinele specializării.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054"/>
        <w:gridCol w:w="5600"/>
      </w:tblGrid>
      <w:tr w:rsidR="00162AF6" w:rsidRPr="00162AF6" w:rsidTr="00162AF6">
        <w:tc>
          <w:tcPr>
            <w:tcW w:w="1696" w:type="dxa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</w:t>
            </w:r>
          </w:p>
        </w:tc>
        <w:tc>
          <w:tcPr>
            <w:tcW w:w="2054" w:type="dxa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 competențe</w:t>
            </w:r>
          </w:p>
        </w:tc>
        <w:tc>
          <w:tcPr>
            <w:tcW w:w="0" w:type="auto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Competențe specifice acumulate - După parcurgerea disciplinei studenții trebuie să cunoască/ După parcurgerea disciplinei studenții vor fi capabili să</w:t>
            </w:r>
          </w:p>
        </w:tc>
      </w:tr>
      <w:tr w:rsidR="00162AF6" w:rsidRPr="00162AF6" w:rsidTr="00162AF6">
        <w:tc>
          <w:tcPr>
            <w:tcW w:w="1696" w:type="dxa"/>
            <w:vMerge w:val="restart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1</w:t>
            </w:r>
          </w:p>
        </w:tc>
        <w:tc>
          <w:tcPr>
            <w:tcW w:w="2054" w:type="dxa"/>
          </w:tcPr>
          <w:p w:rsidR="00162AF6" w:rsidRPr="00162AF6" w:rsidRDefault="00162AF6" w:rsidP="00162AF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Competențele profesionale</w:t>
            </w:r>
          </w:p>
        </w:tc>
        <w:tc>
          <w:tcPr>
            <w:tcW w:w="0" w:type="auto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162AF6" w:rsidRPr="00162AF6" w:rsidTr="00162AF6">
        <w:tc>
          <w:tcPr>
            <w:tcW w:w="1696" w:type="dxa"/>
            <w:vMerge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054" w:type="dxa"/>
          </w:tcPr>
          <w:p w:rsidR="00162AF6" w:rsidRPr="00162AF6" w:rsidRDefault="00162AF6" w:rsidP="00162AF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0" w:type="auto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162AF6" w:rsidRPr="00162AF6" w:rsidTr="00162AF6">
        <w:tc>
          <w:tcPr>
            <w:tcW w:w="1696" w:type="dxa"/>
            <w:vMerge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054" w:type="dxa"/>
          </w:tcPr>
          <w:p w:rsidR="00162AF6" w:rsidRPr="00162AF6" w:rsidRDefault="00162AF6" w:rsidP="00162AF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Exemplu posibilitate de angajare</w:t>
            </w:r>
          </w:p>
        </w:tc>
        <w:tc>
          <w:tcPr>
            <w:tcW w:w="0" w:type="auto"/>
          </w:tcPr>
          <w:p w:rsidR="00162AF6" w:rsidRPr="00162AF6" w:rsidRDefault="00162AF6" w:rsidP="001C3E6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162AF6" w:rsidRPr="00162AF6" w:rsidTr="00162AF6">
        <w:tc>
          <w:tcPr>
            <w:tcW w:w="1696" w:type="dxa"/>
            <w:vMerge w:val="restart"/>
          </w:tcPr>
          <w:p w:rsidR="00162AF6" w:rsidRPr="00162AF6" w:rsidRDefault="00162AF6" w:rsidP="004E4A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2</w:t>
            </w:r>
          </w:p>
        </w:tc>
        <w:tc>
          <w:tcPr>
            <w:tcW w:w="2054" w:type="dxa"/>
          </w:tcPr>
          <w:p w:rsidR="00162AF6" w:rsidRPr="00162AF6" w:rsidRDefault="00162AF6" w:rsidP="004E4A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Competențele profesionale</w:t>
            </w:r>
          </w:p>
        </w:tc>
        <w:tc>
          <w:tcPr>
            <w:tcW w:w="0" w:type="auto"/>
          </w:tcPr>
          <w:p w:rsidR="00162AF6" w:rsidRPr="00162AF6" w:rsidRDefault="00162AF6" w:rsidP="004E4A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162AF6" w:rsidRPr="00162AF6" w:rsidTr="00162AF6">
        <w:tc>
          <w:tcPr>
            <w:tcW w:w="1696" w:type="dxa"/>
            <w:vMerge/>
          </w:tcPr>
          <w:p w:rsidR="00162AF6" w:rsidRPr="00162AF6" w:rsidRDefault="00162AF6" w:rsidP="004E4A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054" w:type="dxa"/>
          </w:tcPr>
          <w:p w:rsidR="00162AF6" w:rsidRPr="00162AF6" w:rsidRDefault="00162AF6" w:rsidP="004E4A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0" w:type="auto"/>
          </w:tcPr>
          <w:p w:rsidR="00162AF6" w:rsidRPr="00162AF6" w:rsidRDefault="00162AF6" w:rsidP="004E4A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162AF6" w:rsidRPr="00162AF6" w:rsidTr="00162AF6">
        <w:tc>
          <w:tcPr>
            <w:tcW w:w="1696" w:type="dxa"/>
            <w:vMerge/>
          </w:tcPr>
          <w:p w:rsidR="00162AF6" w:rsidRPr="00162AF6" w:rsidRDefault="00162AF6" w:rsidP="004E4A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054" w:type="dxa"/>
          </w:tcPr>
          <w:p w:rsidR="00162AF6" w:rsidRPr="00162AF6" w:rsidRDefault="00162AF6" w:rsidP="004E4A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62AF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Exemplu posibilitate de angajare</w:t>
            </w:r>
          </w:p>
        </w:tc>
        <w:tc>
          <w:tcPr>
            <w:tcW w:w="0" w:type="auto"/>
          </w:tcPr>
          <w:p w:rsidR="00162AF6" w:rsidRPr="00162AF6" w:rsidRDefault="00162AF6" w:rsidP="004E4A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162AF6" w:rsidRDefault="00162AF6" w:rsidP="001C3E6F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C3E6F" w:rsidRDefault="001C3E6F" w:rsidP="001C3E6F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C3E6F" w:rsidRPr="001C3E6F" w:rsidRDefault="001C3E6F" w:rsidP="001C3E6F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73A6F" w:rsidRPr="001C3E6F" w:rsidRDefault="001C3E6F" w:rsidP="001C3E6F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ab/>
      </w:r>
    </w:p>
    <w:p w:rsidR="001C3E6F" w:rsidRPr="00C61B28" w:rsidRDefault="001C3E6F" w:rsidP="00C61B28">
      <w:pPr>
        <w:jc w:val="center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1C3E6F" w:rsidRPr="006914B1" w:rsidRDefault="00C61B28" w:rsidP="001C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ro-RO"/>
        </w:rPr>
      </w:pPr>
      <w:r w:rsidRPr="00C61B28">
        <w:rPr>
          <w:rFonts w:ascii="Times New Roman" w:hAnsi="Times New Roman" w:cs="Times New Roman"/>
          <w:color w:val="000000"/>
          <w:sz w:val="24"/>
          <w:szCs w:val="24"/>
          <w:lang w:val="ro-RO"/>
        </w:rPr>
        <w:tab/>
      </w:r>
    </w:p>
    <w:p w:rsidR="006914B1" w:rsidRPr="006914B1" w:rsidRDefault="006914B1" w:rsidP="00C61B28">
      <w:pPr>
        <w:jc w:val="both"/>
        <w:rPr>
          <w:rFonts w:ascii="Times New Roman" w:hAnsi="Times New Roman" w:cs="Times New Roman"/>
          <w:strike/>
          <w:sz w:val="24"/>
          <w:szCs w:val="24"/>
          <w:lang w:val="ro-RO"/>
        </w:rPr>
      </w:pPr>
    </w:p>
    <w:sectPr w:rsidR="006914B1" w:rsidRPr="00691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35015"/>
    <w:multiLevelType w:val="hybridMultilevel"/>
    <w:tmpl w:val="E7508FA4"/>
    <w:lvl w:ilvl="0" w:tplc="88BE6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95"/>
    <w:rsid w:val="00162AF6"/>
    <w:rsid w:val="001C3E6F"/>
    <w:rsid w:val="0022136F"/>
    <w:rsid w:val="002C0479"/>
    <w:rsid w:val="002E60D4"/>
    <w:rsid w:val="003F0C95"/>
    <w:rsid w:val="005C34AD"/>
    <w:rsid w:val="006914B1"/>
    <w:rsid w:val="006D7056"/>
    <w:rsid w:val="00856512"/>
    <w:rsid w:val="00AA7B84"/>
    <w:rsid w:val="00C61B28"/>
    <w:rsid w:val="00D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2A97C-B05F-40B5-9C51-3A726C22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3B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43BD"/>
    <w:pPr>
      <w:ind w:left="720"/>
      <w:contextualSpacing/>
    </w:pPr>
  </w:style>
  <w:style w:type="table" w:styleId="TableGrid">
    <w:name w:val="Table Grid"/>
    <w:basedOn w:val="TableNormal"/>
    <w:uiPriority w:val="39"/>
    <w:rsid w:val="00162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Atanasescu</dc:creator>
  <cp:keywords/>
  <dc:description/>
  <cp:lastModifiedBy>Dana Atanasescu</cp:lastModifiedBy>
  <cp:revision>6</cp:revision>
  <dcterms:created xsi:type="dcterms:W3CDTF">2022-03-21T09:53:00Z</dcterms:created>
  <dcterms:modified xsi:type="dcterms:W3CDTF">2022-03-21T11:20:00Z</dcterms:modified>
</cp:coreProperties>
</file>